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2" w:rsidRPr="00500688" w:rsidRDefault="00931C32" w:rsidP="005750A2">
      <w:pPr>
        <w:tabs>
          <w:tab w:val="left" w:pos="3220"/>
          <w:tab w:val="center" w:pos="4249"/>
        </w:tabs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500688">
        <w:rPr>
          <w:rFonts w:ascii="Arial" w:hAnsi="Arial" w:cs="Arial"/>
          <w:b/>
          <w:sz w:val="22"/>
          <w:szCs w:val="22"/>
        </w:rPr>
        <w:t>AVISO CONVOCATORIA</w:t>
      </w:r>
    </w:p>
    <w:p w:rsidR="00931C32" w:rsidRPr="00500688" w:rsidRDefault="00931C32" w:rsidP="005750A2">
      <w:pPr>
        <w:tabs>
          <w:tab w:val="left" w:pos="3220"/>
          <w:tab w:val="center" w:pos="4249"/>
        </w:tabs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31C32" w:rsidRPr="00500688" w:rsidRDefault="00627F5A" w:rsidP="00500688">
      <w:pPr>
        <w:tabs>
          <w:tab w:val="left" w:pos="3220"/>
          <w:tab w:val="center" w:pos="4249"/>
        </w:tabs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500688">
        <w:rPr>
          <w:rFonts w:ascii="Arial" w:hAnsi="Arial" w:cs="Arial"/>
          <w:b/>
          <w:sz w:val="22"/>
          <w:szCs w:val="22"/>
        </w:rPr>
        <w:t>“</w:t>
      </w:r>
      <w:r w:rsidR="00500688" w:rsidRPr="00500688">
        <w:rPr>
          <w:rFonts w:ascii="Arial" w:hAnsi="Arial" w:cs="Arial"/>
          <w:b/>
          <w:sz w:val="22"/>
          <w:szCs w:val="22"/>
        </w:rPr>
        <w:t xml:space="preserve">ELECCIÓN DE CONTRALOR DISTRITAL DE CARTAGENA DE INDIAS, </w:t>
      </w:r>
      <w:r w:rsidR="00500688">
        <w:rPr>
          <w:rFonts w:ascii="Arial" w:hAnsi="Arial" w:cs="Arial"/>
          <w:b/>
          <w:sz w:val="22"/>
          <w:szCs w:val="22"/>
        </w:rPr>
        <w:t>C</w:t>
      </w:r>
      <w:r w:rsidR="00500688" w:rsidRPr="00500688">
        <w:rPr>
          <w:rFonts w:ascii="Arial" w:hAnsi="Arial" w:cs="Arial"/>
          <w:b/>
          <w:sz w:val="22"/>
          <w:szCs w:val="22"/>
        </w:rPr>
        <w:t>ONFORME LO ESTABLECE LA CONSTITUCIÓN POLÍTICA DE COLOMBIA, EL ACTO LEGISLATIVO NO. 04 DE 2019 Y LA RESOLUCIÓN NO. 0728 DE 2019, MODIFICADA POR LA RESOLUCIÓN NO. 785 DE 2021</w:t>
      </w:r>
      <w:r w:rsidR="00931C32" w:rsidRPr="00500688">
        <w:rPr>
          <w:rFonts w:ascii="Arial" w:hAnsi="Arial" w:cs="Arial"/>
          <w:b/>
          <w:sz w:val="22"/>
          <w:szCs w:val="22"/>
        </w:rPr>
        <w:t>”</w:t>
      </w:r>
    </w:p>
    <w:p w:rsidR="00931C32" w:rsidRPr="00500688" w:rsidRDefault="00931C32" w:rsidP="005750A2">
      <w:pPr>
        <w:tabs>
          <w:tab w:val="left" w:pos="3220"/>
          <w:tab w:val="center" w:pos="4249"/>
        </w:tabs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:rsidR="00500688" w:rsidRDefault="00500688" w:rsidP="00500688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500688">
        <w:rPr>
          <w:rFonts w:ascii="Arial" w:hAnsi="Arial" w:cs="Arial"/>
          <w:b/>
          <w:bCs/>
          <w:sz w:val="22"/>
          <w:szCs w:val="22"/>
        </w:rPr>
        <w:t>LA MESA DIRECTIVA DE LA CONCEJO DISTRITAL DE CARTAGENA DE INDIAS,</w:t>
      </w:r>
      <w:r w:rsidRPr="00500688">
        <w:rPr>
          <w:rFonts w:ascii="Arial" w:hAnsi="Arial" w:cs="Arial"/>
          <w:sz w:val="22"/>
          <w:szCs w:val="22"/>
        </w:rPr>
        <w:t xml:space="preserve"> e</w:t>
      </w:r>
      <w:r w:rsidRPr="00500688">
        <w:rPr>
          <w:rFonts w:ascii="Arial" w:hAnsi="Arial" w:cs="Arial"/>
          <w:sz w:val="22"/>
          <w:szCs w:val="22"/>
          <w:lang w:val="es-CO"/>
        </w:rPr>
        <w:t>n</w:t>
      </w:r>
      <w:r w:rsidRPr="00500688">
        <w:rPr>
          <w:rFonts w:ascii="Arial" w:hAnsi="Arial" w:cs="Arial"/>
          <w:spacing w:val="-3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uso</w:t>
      </w:r>
      <w:r w:rsidRPr="00500688">
        <w:rPr>
          <w:rFonts w:ascii="Arial" w:hAnsi="Arial" w:cs="Arial"/>
          <w:spacing w:val="-3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de</w:t>
      </w:r>
      <w:r w:rsidRPr="00500688">
        <w:rPr>
          <w:rFonts w:ascii="Arial" w:hAnsi="Arial" w:cs="Arial"/>
          <w:spacing w:val="-2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sus</w:t>
      </w:r>
      <w:r w:rsidRPr="00500688">
        <w:rPr>
          <w:rFonts w:ascii="Arial" w:hAnsi="Arial" w:cs="Arial"/>
          <w:spacing w:val="-2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facultades</w:t>
      </w:r>
      <w:r w:rsidRPr="00500688">
        <w:rPr>
          <w:rFonts w:ascii="Arial" w:hAnsi="Arial" w:cs="Arial"/>
          <w:spacing w:val="-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constitucionales,</w:t>
      </w:r>
      <w:r w:rsidRPr="00500688">
        <w:rPr>
          <w:rFonts w:ascii="Arial" w:hAnsi="Arial" w:cs="Arial"/>
          <w:spacing w:val="-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legales</w:t>
      </w:r>
      <w:r w:rsidRPr="00500688">
        <w:rPr>
          <w:rFonts w:ascii="Arial" w:hAnsi="Arial" w:cs="Arial"/>
          <w:spacing w:val="-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y</w:t>
      </w:r>
      <w:r w:rsidRPr="00500688">
        <w:rPr>
          <w:rFonts w:ascii="Arial" w:hAnsi="Arial" w:cs="Arial"/>
          <w:spacing w:val="-4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reglamentarias,</w:t>
      </w:r>
      <w:r w:rsidRPr="00500688">
        <w:rPr>
          <w:rFonts w:ascii="Arial" w:hAnsi="Arial" w:cs="Arial"/>
          <w:spacing w:val="-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en especial de lo señalado en la Ley 1904 del 27 de junio de 2018,</w:t>
      </w:r>
      <w:r w:rsidRPr="00500688">
        <w:rPr>
          <w:rFonts w:ascii="Arial" w:hAnsi="Arial" w:cs="Arial"/>
          <w:spacing w:val="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Resolución N</w:t>
      </w:r>
      <w:r w:rsidRPr="00500688">
        <w:rPr>
          <w:rFonts w:ascii="Arial" w:hAnsi="Arial" w:cs="Arial"/>
          <w:sz w:val="22"/>
          <w:szCs w:val="22"/>
          <w:lang w:val="es-CO"/>
        </w:rPr>
        <w:t>o</w:t>
      </w:r>
      <w:r w:rsidRPr="00500688">
        <w:rPr>
          <w:rFonts w:ascii="Arial" w:hAnsi="Arial" w:cs="Arial"/>
          <w:sz w:val="22"/>
          <w:szCs w:val="22"/>
          <w:lang w:val="es-CO"/>
        </w:rPr>
        <w:t>. 0728 del 18 de noviembre de 2019, modificada por la Resolución No. 0785 del 15 de julio de 2021, proferidas por la Contraloría General de La República y el conforme al Reglamento Interno de la</w:t>
      </w:r>
      <w:r w:rsidRPr="00500688">
        <w:rPr>
          <w:rFonts w:ascii="Arial" w:hAnsi="Arial" w:cs="Arial"/>
          <w:spacing w:val="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>Corporación</w:t>
      </w:r>
      <w:r w:rsidRPr="00500688">
        <w:rPr>
          <w:rFonts w:ascii="Arial" w:hAnsi="Arial" w:cs="Arial"/>
          <w:spacing w:val="1"/>
          <w:sz w:val="22"/>
          <w:szCs w:val="22"/>
          <w:lang w:val="es-CO"/>
        </w:rPr>
        <w:t xml:space="preserve"> </w:t>
      </w:r>
      <w:r w:rsidRPr="00500688">
        <w:rPr>
          <w:rFonts w:ascii="Arial" w:hAnsi="Arial" w:cs="Arial"/>
          <w:sz w:val="22"/>
          <w:szCs w:val="22"/>
          <w:lang w:val="es-CO"/>
        </w:rPr>
        <w:t xml:space="preserve">expidió la Resolución No. 125 del 7 de septiembre de 2021, a través de la cual </w:t>
      </w:r>
      <w:r w:rsidRPr="00500688">
        <w:rPr>
          <w:rFonts w:ascii="Arial" w:hAnsi="Arial" w:cs="Arial"/>
          <w:b/>
          <w:iCs/>
          <w:sz w:val="22"/>
          <w:szCs w:val="22"/>
        </w:rPr>
        <w:t>SE ABRE Y REGLAMENTA LA CONVOCATORIA PÚBLICA PREVIA A LA ELECCIÓN DEL CONTRALOR (A) DISTRITAL DE CARTAGENA DE INDIAS</w:t>
      </w:r>
      <w:r>
        <w:rPr>
          <w:rFonts w:ascii="Arial" w:hAnsi="Arial" w:cs="Arial"/>
          <w:b/>
          <w:iCs/>
          <w:sz w:val="22"/>
          <w:szCs w:val="22"/>
        </w:rPr>
        <w:t>.</w:t>
      </w:r>
    </w:p>
    <w:p w:rsidR="00500688" w:rsidRDefault="00500688" w:rsidP="0050068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00688" w:rsidRPr="00500688" w:rsidRDefault="003A3317" w:rsidP="00500688">
      <w:pPr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</w:pPr>
      <w:r w:rsidRPr="00500688">
        <w:rPr>
          <w:rFonts w:ascii="Arial" w:hAnsi="Arial" w:cs="Arial"/>
          <w:sz w:val="22"/>
          <w:szCs w:val="22"/>
        </w:rPr>
        <w:t xml:space="preserve">De conformidad con </w:t>
      </w:r>
      <w:r w:rsid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 xml:space="preserve">la normas constitucionales y legales vigentes; los interesados en postularse al cargo de Contralor Distrital de Cartagena, deberán cumplir con los siguientes requisitos: a) 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Ser c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 xml:space="preserve">olombiano </w:t>
      </w:r>
      <w:r w:rsid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de nacimiento; b) Ser ciudadano en ejercicio; c) tener más de veinticinco 25 años; d) acreditar título universitario; e) h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aber ejercido funciones públicas por un periodo no inferior a 2 años</w:t>
      </w:r>
      <w:r w:rsid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 xml:space="preserve"> y f) n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o encontrarse incurso en las causales de inhabilidades e incompatibilidades que consagra el artículo segundo del acto legislativo No 4 del 18 de septiembre de 2019, que reformó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 xml:space="preserve"> el artículo 272 de la C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onstituci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ón P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 xml:space="preserve">olítica 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>de Colombia</w:t>
      </w:r>
      <w:r w:rsidR="00500688" w:rsidRPr="00500688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s-CO"/>
        </w:rPr>
        <w:t xml:space="preserve">. </w:t>
      </w:r>
    </w:p>
    <w:p w:rsidR="00627F5A" w:rsidRPr="00500688" w:rsidRDefault="00627F5A" w:rsidP="00575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Cs/>
          <w:sz w:val="22"/>
          <w:szCs w:val="22"/>
          <w:lang w:eastAsia="es-ES_tradnl"/>
        </w:rPr>
      </w:pPr>
    </w:p>
    <w:p w:rsidR="003A3317" w:rsidRPr="002E4400" w:rsidRDefault="003A3317" w:rsidP="005750A2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0688">
        <w:rPr>
          <w:rFonts w:ascii="Arial" w:hAnsi="Arial" w:cs="Arial"/>
          <w:sz w:val="22"/>
          <w:szCs w:val="22"/>
          <w:lang w:val="es-ES"/>
        </w:rPr>
        <w:t>La inscripción al proceso de selección deberá realizarse personalmente en la Secretaria General del C</w:t>
      </w:r>
      <w:r w:rsidR="00500688" w:rsidRPr="00500688">
        <w:rPr>
          <w:rFonts w:ascii="Arial" w:hAnsi="Arial" w:cs="Arial"/>
          <w:sz w:val="22"/>
          <w:szCs w:val="22"/>
          <w:lang w:val="es-ES"/>
        </w:rPr>
        <w:t xml:space="preserve">oncejo Distrital de Cartagena, </w:t>
      </w:r>
      <w:r w:rsidRPr="00500688">
        <w:rPr>
          <w:rFonts w:ascii="Arial" w:hAnsi="Arial" w:cs="Arial"/>
          <w:sz w:val="22"/>
          <w:szCs w:val="22"/>
        </w:rPr>
        <w:t>u</w:t>
      </w:r>
      <w:r w:rsidR="00500688" w:rsidRPr="00500688">
        <w:rPr>
          <w:rFonts w:ascii="Arial" w:hAnsi="Arial" w:cs="Arial"/>
          <w:sz w:val="22"/>
          <w:szCs w:val="22"/>
        </w:rPr>
        <w:t>bicada en la calle del arsenal E</w:t>
      </w:r>
      <w:r w:rsidRPr="00500688">
        <w:rPr>
          <w:rFonts w:ascii="Arial" w:hAnsi="Arial" w:cs="Arial"/>
          <w:sz w:val="22"/>
          <w:szCs w:val="22"/>
        </w:rPr>
        <w:t xml:space="preserve">dificio Galeras de la marina 1er piso, </w:t>
      </w:r>
      <w:r w:rsidRPr="00500688">
        <w:rPr>
          <w:rFonts w:ascii="Arial" w:hAnsi="Arial" w:cs="Arial"/>
          <w:sz w:val="22"/>
          <w:szCs w:val="22"/>
          <w:lang w:val="es-ES"/>
        </w:rPr>
        <w:t xml:space="preserve">en el horario comprendido entre </w:t>
      </w:r>
      <w:r w:rsidRPr="002E4400">
        <w:rPr>
          <w:rFonts w:ascii="Arial" w:hAnsi="Arial" w:cs="Arial"/>
          <w:b/>
          <w:sz w:val="22"/>
          <w:szCs w:val="22"/>
          <w:lang w:val="es-ES"/>
        </w:rPr>
        <w:t>las 8: 00a.m., y las</w:t>
      </w:r>
      <w:r w:rsidR="00500688" w:rsidRPr="002E4400">
        <w:rPr>
          <w:rFonts w:ascii="Arial" w:hAnsi="Arial" w:cs="Arial"/>
          <w:b/>
          <w:sz w:val="22"/>
          <w:szCs w:val="22"/>
          <w:lang w:val="es-ES"/>
        </w:rPr>
        <w:t xml:space="preserve"> 12:00 p.m., y las 2:00 p.m. a 4</w:t>
      </w:r>
      <w:r w:rsidRPr="002E4400">
        <w:rPr>
          <w:rFonts w:ascii="Arial" w:hAnsi="Arial" w:cs="Arial"/>
          <w:b/>
          <w:sz w:val="22"/>
          <w:szCs w:val="22"/>
          <w:lang w:val="es-ES"/>
        </w:rPr>
        <w:t xml:space="preserve">:00 pm, </w:t>
      </w:r>
      <w:r w:rsidR="00500688" w:rsidRPr="002E4400">
        <w:rPr>
          <w:rFonts w:ascii="Arial" w:hAnsi="Arial" w:cs="Arial"/>
          <w:b/>
          <w:sz w:val="22"/>
          <w:szCs w:val="22"/>
          <w:lang w:val="es-ES"/>
        </w:rPr>
        <w:t>durante los días 22 y 23 de septiembre de 2021.</w:t>
      </w:r>
    </w:p>
    <w:p w:rsidR="00500688" w:rsidRPr="002E4400" w:rsidRDefault="00500688" w:rsidP="005750A2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27F5A" w:rsidRPr="00500688" w:rsidRDefault="00627F5A" w:rsidP="005750A2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500688">
        <w:rPr>
          <w:rFonts w:ascii="Arial" w:hAnsi="Arial" w:cs="Arial"/>
          <w:b/>
          <w:sz w:val="22"/>
          <w:szCs w:val="22"/>
        </w:rPr>
        <w:t>Nota:</w:t>
      </w:r>
      <w:r w:rsidR="003A3317" w:rsidRPr="00500688">
        <w:rPr>
          <w:rFonts w:ascii="Arial" w:hAnsi="Arial" w:cs="Arial"/>
          <w:sz w:val="22"/>
          <w:szCs w:val="22"/>
        </w:rPr>
        <w:t xml:space="preserve"> </w:t>
      </w:r>
      <w:r w:rsidR="00500688" w:rsidRPr="00500688">
        <w:rPr>
          <w:rFonts w:ascii="Arial" w:hAnsi="Arial" w:cs="Arial"/>
          <w:sz w:val="22"/>
          <w:szCs w:val="22"/>
        </w:rPr>
        <w:t xml:space="preserve">La </w:t>
      </w:r>
      <w:r w:rsidR="00500688" w:rsidRPr="002E4400">
        <w:rPr>
          <w:rFonts w:ascii="Arial" w:hAnsi="Arial" w:cs="Arial"/>
          <w:b/>
          <w:sz w:val="22"/>
          <w:szCs w:val="22"/>
        </w:rPr>
        <w:t>Resolución No. 125 de 2021</w:t>
      </w:r>
      <w:r w:rsidRPr="002E4400">
        <w:rPr>
          <w:rFonts w:ascii="Arial" w:hAnsi="Arial" w:cs="Arial"/>
          <w:b/>
          <w:sz w:val="22"/>
          <w:szCs w:val="22"/>
        </w:rPr>
        <w:t>,</w:t>
      </w:r>
      <w:r w:rsidRPr="00500688">
        <w:rPr>
          <w:rFonts w:ascii="Arial" w:hAnsi="Arial" w:cs="Arial"/>
          <w:sz w:val="22"/>
          <w:szCs w:val="22"/>
        </w:rPr>
        <w:t xml:space="preserve"> que establece el procedimiento y cronograma para la </w:t>
      </w:r>
      <w:r w:rsidR="003A3317" w:rsidRPr="00500688">
        <w:rPr>
          <w:rFonts w:ascii="Arial" w:hAnsi="Arial" w:cs="Arial"/>
          <w:sz w:val="22"/>
          <w:szCs w:val="22"/>
        </w:rPr>
        <w:t>elección de</w:t>
      </w:r>
      <w:r w:rsidR="005750A2" w:rsidRPr="00500688">
        <w:rPr>
          <w:rFonts w:ascii="Arial" w:hAnsi="Arial" w:cs="Arial"/>
          <w:sz w:val="22"/>
          <w:szCs w:val="22"/>
        </w:rPr>
        <w:t xml:space="preserve"> Contralor (a) Distrital de Cartagena de Indias,</w:t>
      </w:r>
      <w:r w:rsidR="003A3317" w:rsidRPr="00500688">
        <w:rPr>
          <w:rFonts w:ascii="Arial" w:hAnsi="Arial" w:cs="Arial"/>
          <w:sz w:val="22"/>
          <w:szCs w:val="22"/>
        </w:rPr>
        <w:t xml:space="preserve"> </w:t>
      </w:r>
      <w:r w:rsidR="00500688" w:rsidRPr="00500688">
        <w:rPr>
          <w:rFonts w:ascii="Arial" w:hAnsi="Arial" w:cs="Arial"/>
          <w:sz w:val="22"/>
          <w:szCs w:val="22"/>
        </w:rPr>
        <w:t>podrá ser consultada</w:t>
      </w:r>
      <w:r w:rsidRPr="00500688">
        <w:rPr>
          <w:rFonts w:ascii="Arial" w:hAnsi="Arial" w:cs="Arial"/>
          <w:sz w:val="22"/>
          <w:szCs w:val="22"/>
        </w:rPr>
        <w:t xml:space="preserve"> en la página web de la </w:t>
      </w:r>
      <w:r w:rsidR="002E4400">
        <w:rPr>
          <w:rFonts w:ascii="Arial" w:hAnsi="Arial" w:cs="Arial"/>
          <w:sz w:val="22"/>
          <w:szCs w:val="22"/>
        </w:rPr>
        <w:t>Corporación</w:t>
      </w:r>
      <w:r w:rsidRPr="00500688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5750A2" w:rsidRPr="00500688">
          <w:rPr>
            <w:rStyle w:val="Hipervnculo"/>
            <w:rFonts w:ascii="Arial" w:hAnsi="Arial" w:cs="Arial"/>
            <w:sz w:val="22"/>
            <w:szCs w:val="22"/>
          </w:rPr>
          <w:t>www.concejodistritaldecartagena.gov.co</w:t>
        </w:r>
      </w:hyperlink>
      <w:r w:rsidR="005750A2" w:rsidRPr="00500688">
        <w:rPr>
          <w:rFonts w:ascii="Arial" w:hAnsi="Arial" w:cs="Arial"/>
          <w:sz w:val="22"/>
          <w:szCs w:val="22"/>
        </w:rPr>
        <w:t xml:space="preserve"> </w:t>
      </w:r>
    </w:p>
    <w:p w:rsidR="002716D7" w:rsidRPr="00500688" w:rsidRDefault="002716D7" w:rsidP="005750A2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716D7" w:rsidRPr="00500688" w:rsidSect="00500688">
      <w:headerReference w:type="default" r:id="rId8"/>
      <w:footerReference w:type="default" r:id="rId9"/>
      <w:pgSz w:w="12240" w:h="20160" w:code="5"/>
      <w:pgMar w:top="170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6A" w:rsidRDefault="00217E6A" w:rsidP="00931C32">
      <w:r>
        <w:separator/>
      </w:r>
    </w:p>
  </w:endnote>
  <w:endnote w:type="continuationSeparator" w:id="0">
    <w:p w:rsidR="00217E6A" w:rsidRDefault="00217E6A" w:rsidP="0093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32" w:rsidRDefault="00931C32" w:rsidP="00931C32">
    <w:pPr>
      <w:pStyle w:val="Piedepgina"/>
    </w:pPr>
  </w:p>
  <w:p w:rsidR="00931C32" w:rsidRDefault="00931C32" w:rsidP="00931C32">
    <w:pPr>
      <w:pStyle w:val="Piedepgina"/>
    </w:pPr>
  </w:p>
  <w:p w:rsidR="00931C32" w:rsidRDefault="00931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6A" w:rsidRDefault="00217E6A" w:rsidP="00931C32">
      <w:r>
        <w:separator/>
      </w:r>
    </w:p>
  </w:footnote>
  <w:footnote w:type="continuationSeparator" w:id="0">
    <w:p w:rsidR="00217E6A" w:rsidRDefault="00217E6A" w:rsidP="0093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A2" w:rsidRDefault="005750A2" w:rsidP="005750A2">
    <w:pPr>
      <w:jc w:val="center"/>
      <w:rPr>
        <w:rFonts w:ascii="Lucida Calligraphy" w:eastAsia="Calibri" w:hAnsi="Lucida Calligraphy"/>
        <w:b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56276B" wp14:editId="7832EC84">
          <wp:simplePos x="0" y="0"/>
          <wp:positionH relativeFrom="column">
            <wp:posOffset>-212725</wp:posOffset>
          </wp:positionH>
          <wp:positionV relativeFrom="paragraph">
            <wp:posOffset>24765</wp:posOffset>
          </wp:positionV>
          <wp:extent cx="781050" cy="670770"/>
          <wp:effectExtent l="0" t="0" r="0" b="0"/>
          <wp:wrapNone/>
          <wp:docPr id="7" name="Imagen 7" descr="Descripción: http://www.cartagenacaribe.com/ggeneral/images/escudorep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www.cartagenacaribe.com/ggeneral/images/escudorep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eastAsia="Calibri" w:hAnsi="Lucida Calligraphy"/>
        <w:b/>
      </w:rPr>
      <w:t xml:space="preserve">                   </w:t>
    </w:r>
  </w:p>
  <w:p w:rsidR="005750A2" w:rsidRPr="00D40EEE" w:rsidRDefault="005750A2" w:rsidP="005750A2">
    <w:pPr>
      <w:ind w:firstLine="708"/>
      <w:jc w:val="center"/>
      <w:rPr>
        <w:rFonts w:ascii="Lucida Calligraphy" w:eastAsia="Calibri" w:hAnsi="Lucida Calligraphy"/>
        <w:b/>
      </w:rPr>
    </w:pPr>
    <w:r w:rsidRPr="00A8135D">
      <w:rPr>
        <w:rFonts w:ascii="Lucida Calligraphy" w:eastAsia="Calibri" w:hAnsi="Lucida Calligraphy"/>
        <w:b/>
      </w:rPr>
      <w:t>CONCEJO DISTRITAL DE CARTAGENA DE INDIAS</w:t>
    </w:r>
  </w:p>
  <w:p w:rsidR="005750A2" w:rsidRPr="00D40EEE" w:rsidRDefault="005750A2" w:rsidP="005750A2">
    <w:pPr>
      <w:tabs>
        <w:tab w:val="left" w:pos="585"/>
        <w:tab w:val="center" w:pos="4420"/>
        <w:tab w:val="right" w:pos="8838"/>
      </w:tabs>
      <w:jc w:val="center"/>
      <w:rPr>
        <w:rFonts w:ascii="Baskerville Old Face" w:eastAsia="Calibri" w:hAnsi="Baskerville Old Face"/>
        <w:b/>
      </w:rPr>
    </w:pPr>
    <w:r>
      <w:rPr>
        <w:rFonts w:ascii="Baskerville Old Face" w:eastAsia="Calibri" w:hAnsi="Baskerville Old Face"/>
        <w:b/>
      </w:rPr>
      <w:t xml:space="preserve">           </w:t>
    </w:r>
    <w:proofErr w:type="spellStart"/>
    <w:r w:rsidRPr="00D40EEE">
      <w:rPr>
        <w:rFonts w:ascii="Baskerville Old Face" w:eastAsia="Calibri" w:hAnsi="Baskerville Old Face"/>
        <w:b/>
      </w:rPr>
      <w:t>Nit</w:t>
    </w:r>
    <w:proofErr w:type="spellEnd"/>
    <w:r w:rsidRPr="00D40EEE">
      <w:rPr>
        <w:rFonts w:ascii="Baskerville Old Face" w:eastAsia="Calibri" w:hAnsi="Baskerville Old Face"/>
        <w:b/>
      </w:rPr>
      <w:t>. 806.000.199-0</w:t>
    </w:r>
  </w:p>
  <w:p w:rsidR="00931C32" w:rsidRPr="00DB1093" w:rsidRDefault="00931C32" w:rsidP="00931C32">
    <w:pPr>
      <w:pStyle w:val="Encabezado"/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F4942" wp14:editId="2A5A448A">
              <wp:simplePos x="0" y="0"/>
              <wp:positionH relativeFrom="column">
                <wp:align>center</wp:align>
              </wp:positionH>
              <wp:positionV relativeFrom="paragraph">
                <wp:posOffset>151130</wp:posOffset>
              </wp:positionV>
              <wp:extent cx="406336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32" w:rsidRPr="00931C32" w:rsidRDefault="00931C32" w:rsidP="00931C32">
                          <w:pPr>
                            <w:spacing w:before="120"/>
                            <w:jc w:val="center"/>
                            <w:rPr>
                              <w:rFonts w:ascii="Baskerville Old Face" w:hAnsi="Baskerville Old Face" w:cs="Tahoma"/>
                              <w:b/>
                            </w:rPr>
                          </w:pPr>
                          <w:r w:rsidRPr="00931C32">
                            <w:rPr>
                              <w:rFonts w:ascii="Baskerville Old Face" w:hAnsi="Baskerville Old Face" w:cs="Tahoma"/>
                              <w:b/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F494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11.9pt;width:319.95pt;height:72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p2ug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" filled="f" stroked="f">
              <v:textbox>
                <w:txbxContent>
                  <w:p w:rsidR="00931C32" w:rsidRPr="00931C32" w:rsidRDefault="00931C32" w:rsidP="00931C32">
                    <w:pPr>
                      <w:spacing w:before="120"/>
                      <w:jc w:val="center"/>
                      <w:rPr>
                        <w:rFonts w:ascii="Baskerville Old Face" w:hAnsi="Baskerville Old Face" w:cs="Tahoma"/>
                        <w:b/>
                      </w:rPr>
                    </w:pPr>
                    <w:r w:rsidRPr="00931C32">
                      <w:rPr>
                        <w:rFonts w:ascii="Baskerville Old Face" w:hAnsi="Baskerville Old Face" w:cs="Tahoma"/>
                        <w:b/>
                        <w:noProof/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31C32" w:rsidRDefault="00931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7CA8"/>
    <w:multiLevelType w:val="hybridMultilevel"/>
    <w:tmpl w:val="FEAA6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34587"/>
    <w:multiLevelType w:val="hybridMultilevel"/>
    <w:tmpl w:val="4DF63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92731"/>
    <w:multiLevelType w:val="hybridMultilevel"/>
    <w:tmpl w:val="EA50B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32"/>
    <w:rsid w:val="00011E13"/>
    <w:rsid w:val="001A5B4A"/>
    <w:rsid w:val="001C173E"/>
    <w:rsid w:val="00217E6A"/>
    <w:rsid w:val="002716D7"/>
    <w:rsid w:val="002E4400"/>
    <w:rsid w:val="003647C5"/>
    <w:rsid w:val="003A3317"/>
    <w:rsid w:val="004333E6"/>
    <w:rsid w:val="00500688"/>
    <w:rsid w:val="005750A2"/>
    <w:rsid w:val="00627F5A"/>
    <w:rsid w:val="007C00F7"/>
    <w:rsid w:val="00931C32"/>
    <w:rsid w:val="00D5423E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40E0"/>
  <w15:docId w15:val="{307F5202-BE96-4371-BC14-80CA43D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3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C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31C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1C32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931C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31C32"/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931C32"/>
    <w:pPr>
      <w:jc w:val="center"/>
    </w:pPr>
    <w:rPr>
      <w:rFonts w:ascii="Times New Roman" w:eastAsia="Times New Roman" w:hAnsi="Times New Roman"/>
      <w:i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31C32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575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cejodistritaldecartagen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Pacheco</dc:creator>
  <cp:lastModifiedBy>ACER</cp:lastModifiedBy>
  <cp:revision>3</cp:revision>
  <dcterms:created xsi:type="dcterms:W3CDTF">2018-06-12T19:48:00Z</dcterms:created>
  <dcterms:modified xsi:type="dcterms:W3CDTF">2021-09-14T19:18:00Z</dcterms:modified>
</cp:coreProperties>
</file>